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E95" w:rsidRPr="00147E95" w:rsidRDefault="00147E95" w:rsidP="00147E95">
      <w:pPr>
        <w:spacing w:after="0" w:line="240" w:lineRule="auto"/>
        <w:rPr>
          <w:rFonts w:ascii="Times New Roman" w:eastAsia="Times New Roman" w:hAnsi="Times New Roman" w:cs="Times New Roman"/>
          <w:sz w:val="24"/>
          <w:szCs w:val="24"/>
        </w:rPr>
      </w:pPr>
      <w:r w:rsidRPr="00147E95">
        <w:rPr>
          <w:rFonts w:ascii="Times New Roman" w:eastAsia="Times New Roman" w:hAnsi="Times New Roman" w:cs="Times New Roman"/>
          <w:color w:val="000000"/>
          <w:sz w:val="27"/>
          <w:szCs w:val="27"/>
          <w:shd w:val="clear" w:color="auto" w:fill="FFFFFF"/>
        </w:rPr>
        <w:t>A famous problem in mathematics concerns coloring adjacent planar regions. Like cartographic maps, it is required that, whatever colors are actually used, no two adjacent regions may not have the same color. Two regions are considered adjacent provided they share some boundary line segment. Consider the following map.</w:t>
      </w:r>
    </w:p>
    <w:p w:rsidR="00147E95" w:rsidRPr="00147E95" w:rsidRDefault="00147E95" w:rsidP="00147E95">
      <w:pPr>
        <w:spacing w:after="0" w:line="240" w:lineRule="auto"/>
        <w:jc w:val="center"/>
        <w:rPr>
          <w:rFonts w:ascii="Times New Roman" w:eastAsia="Times New Roman" w:hAnsi="Times New Roman" w:cs="Times New Roman"/>
          <w:color w:val="000000"/>
          <w:sz w:val="27"/>
          <w:szCs w:val="27"/>
        </w:rPr>
      </w:pPr>
      <w:r w:rsidRPr="00147E95">
        <w:rPr>
          <w:rFonts w:ascii="Times New Roman" w:eastAsia="Times New Roman" w:hAnsi="Times New Roman" w:cs="Times New Roman"/>
          <w:noProof/>
          <w:color w:val="000000"/>
          <w:sz w:val="27"/>
          <w:szCs w:val="27"/>
        </w:rPr>
        <w:drawing>
          <wp:inline distT="0" distB="0" distL="0" distR="0">
            <wp:extent cx="2002790" cy="1558137"/>
            <wp:effectExtent l="0" t="0" r="0" b="4445"/>
            <wp:docPr id="2" name="Picture 2" descr="Fig.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 2.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5136" cy="1567742"/>
                    </a:xfrm>
                    <a:prstGeom prst="rect">
                      <a:avLst/>
                    </a:prstGeom>
                    <a:noFill/>
                    <a:ln>
                      <a:noFill/>
                    </a:ln>
                  </pic:spPr>
                </pic:pic>
              </a:graphicData>
            </a:graphic>
          </wp:inline>
        </w:drawing>
      </w:r>
      <w:r w:rsidRPr="00147E95">
        <w:rPr>
          <w:rFonts w:ascii="Times New Roman" w:eastAsia="Times New Roman" w:hAnsi="Times New Roman" w:cs="Times New Roman"/>
          <w:color w:val="000000"/>
          <w:sz w:val="27"/>
          <w:szCs w:val="27"/>
        </w:rPr>
        <w:t> </w:t>
      </w:r>
      <w:r w:rsidRPr="00147E95">
        <w:rPr>
          <w:rFonts w:ascii="Times New Roman" w:eastAsia="Times New Roman" w:hAnsi="Times New Roman" w:cs="Times New Roman"/>
          <w:color w:val="000000"/>
          <w:sz w:val="27"/>
          <w:szCs w:val="27"/>
        </w:rPr>
        <w:br/>
        <w:t>Fig. 2.1.1</w:t>
      </w:r>
    </w:p>
    <w:p w:rsidR="00147E95" w:rsidRPr="00147E95" w:rsidRDefault="00147E95" w:rsidP="00147E95">
      <w:pPr>
        <w:spacing w:before="100" w:beforeAutospacing="1" w:after="100" w:afterAutospacing="1" w:line="240" w:lineRule="auto"/>
        <w:rPr>
          <w:rFonts w:ascii="Times New Roman" w:eastAsia="Times New Roman" w:hAnsi="Times New Roman" w:cs="Times New Roman"/>
          <w:color w:val="000000"/>
          <w:sz w:val="27"/>
          <w:szCs w:val="27"/>
        </w:rPr>
      </w:pPr>
      <w:r w:rsidRPr="00147E95">
        <w:rPr>
          <w:rFonts w:ascii="Times New Roman" w:eastAsia="Times New Roman" w:hAnsi="Times New Roman" w:cs="Times New Roman"/>
          <w:color w:val="000000"/>
          <w:sz w:val="27"/>
          <w:szCs w:val="27"/>
        </w:rPr>
        <w:t>We have given numerical names to the regions. To represent which regions are adjacent, consider also the following graph.</w:t>
      </w:r>
    </w:p>
    <w:p w:rsidR="00147E95" w:rsidRPr="00147E95" w:rsidRDefault="00147E95" w:rsidP="00147E95">
      <w:pPr>
        <w:spacing w:after="0" w:line="240" w:lineRule="auto"/>
        <w:jc w:val="center"/>
        <w:rPr>
          <w:rFonts w:ascii="Times New Roman" w:eastAsia="Times New Roman" w:hAnsi="Times New Roman" w:cs="Times New Roman"/>
          <w:color w:val="000000"/>
          <w:sz w:val="27"/>
          <w:szCs w:val="27"/>
        </w:rPr>
      </w:pPr>
      <w:r w:rsidRPr="00147E95">
        <w:rPr>
          <w:rFonts w:ascii="Times New Roman" w:eastAsia="Times New Roman" w:hAnsi="Times New Roman" w:cs="Times New Roman"/>
          <w:noProof/>
          <w:color w:val="000000"/>
          <w:sz w:val="27"/>
          <w:szCs w:val="27"/>
        </w:rPr>
        <w:drawing>
          <wp:inline distT="0" distB="0" distL="0" distR="0">
            <wp:extent cx="1786255" cy="1690370"/>
            <wp:effectExtent l="0" t="0" r="4445" b="5080"/>
            <wp:docPr id="1" name="Picture 1" descr="Fig.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 2.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6255" cy="1690370"/>
                    </a:xfrm>
                    <a:prstGeom prst="rect">
                      <a:avLst/>
                    </a:prstGeom>
                    <a:noFill/>
                    <a:ln>
                      <a:noFill/>
                    </a:ln>
                  </pic:spPr>
                </pic:pic>
              </a:graphicData>
            </a:graphic>
          </wp:inline>
        </w:drawing>
      </w:r>
    </w:p>
    <w:p w:rsidR="00147E95" w:rsidRPr="00147E95" w:rsidRDefault="00147E95" w:rsidP="00147E95">
      <w:pPr>
        <w:spacing w:before="100" w:beforeAutospacing="1" w:after="100" w:afterAutospacing="1" w:line="240" w:lineRule="auto"/>
        <w:rPr>
          <w:rFonts w:ascii="Times New Roman" w:eastAsia="Times New Roman" w:hAnsi="Times New Roman" w:cs="Times New Roman"/>
          <w:color w:val="000000"/>
          <w:sz w:val="27"/>
          <w:szCs w:val="27"/>
        </w:rPr>
      </w:pPr>
      <w:r w:rsidRPr="00147E95">
        <w:rPr>
          <w:rFonts w:ascii="Times New Roman" w:eastAsia="Times New Roman" w:hAnsi="Times New Roman" w:cs="Times New Roman"/>
          <w:color w:val="000000"/>
          <w:sz w:val="27"/>
          <w:szCs w:val="27"/>
        </w:rPr>
        <w:t>A Prolog representation for the adjacency information could be represented by the following </w:t>
      </w:r>
      <w:r w:rsidRPr="00147E95">
        <w:rPr>
          <w:rFonts w:ascii="Times New Roman" w:eastAsia="Times New Roman" w:hAnsi="Times New Roman" w:cs="Times New Roman"/>
          <w:i/>
          <w:iCs/>
          <w:color w:val="000000"/>
          <w:sz w:val="27"/>
          <w:szCs w:val="27"/>
        </w:rPr>
        <w:t>unit</w:t>
      </w:r>
      <w:r w:rsidRPr="00147E95">
        <w:rPr>
          <w:rFonts w:ascii="Times New Roman" w:eastAsia="Times New Roman" w:hAnsi="Times New Roman" w:cs="Times New Roman"/>
          <w:color w:val="000000"/>
          <w:sz w:val="27"/>
          <w:szCs w:val="27"/>
        </w:rPr>
        <w:t> clauses, or facts.</w:t>
      </w:r>
    </w:p>
    <w:p w:rsidR="00147E95" w:rsidRPr="00147E95" w:rsidRDefault="00147E95" w:rsidP="0014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Courier New" w:eastAsia="Times New Roman" w:hAnsi="Courier New" w:cs="Courier New"/>
          <w:color w:val="000000"/>
          <w:sz w:val="20"/>
          <w:szCs w:val="20"/>
        </w:rPr>
      </w:pPr>
      <w:r w:rsidRPr="00147E95">
        <w:rPr>
          <w:rFonts w:ascii="Courier New" w:eastAsia="Times New Roman" w:hAnsi="Courier New" w:cs="Courier New"/>
          <w:color w:val="000000"/>
          <w:sz w:val="20"/>
          <w:szCs w:val="20"/>
        </w:rPr>
        <w:t xml:space="preserve"> </w:t>
      </w:r>
      <w:r w:rsidRPr="00147E95">
        <w:rPr>
          <w:rFonts w:ascii="Courier New" w:eastAsia="Times New Roman" w:hAnsi="Courier New" w:cs="Courier New"/>
          <w:color w:val="000000"/>
          <w:sz w:val="20"/>
          <w:szCs w:val="20"/>
        </w:rPr>
        <w:br/>
        <w:t xml:space="preserve">adjacent(1,2).         adjacent(2,1). </w:t>
      </w:r>
      <w:r w:rsidRPr="00147E95">
        <w:rPr>
          <w:rFonts w:ascii="Courier New" w:eastAsia="Times New Roman" w:hAnsi="Courier New" w:cs="Courier New"/>
          <w:color w:val="000000"/>
          <w:sz w:val="20"/>
          <w:szCs w:val="20"/>
        </w:rPr>
        <w:br/>
        <w:t xml:space="preserve">adjacent(1,3).         adjacent(3,1). </w:t>
      </w:r>
      <w:r w:rsidRPr="00147E95">
        <w:rPr>
          <w:rFonts w:ascii="Courier New" w:eastAsia="Times New Roman" w:hAnsi="Courier New" w:cs="Courier New"/>
          <w:color w:val="000000"/>
          <w:sz w:val="20"/>
          <w:szCs w:val="20"/>
        </w:rPr>
        <w:br/>
        <w:t xml:space="preserve">adjacent(1,4).         adjacent(4,1). </w:t>
      </w:r>
      <w:r w:rsidRPr="00147E95">
        <w:rPr>
          <w:rFonts w:ascii="Courier New" w:eastAsia="Times New Roman" w:hAnsi="Courier New" w:cs="Courier New"/>
          <w:color w:val="000000"/>
          <w:sz w:val="20"/>
          <w:szCs w:val="20"/>
        </w:rPr>
        <w:br/>
        <w:t xml:space="preserve">adjacent(1,5).         adjacent(5,1). </w:t>
      </w:r>
      <w:r w:rsidRPr="00147E95">
        <w:rPr>
          <w:rFonts w:ascii="Courier New" w:eastAsia="Times New Roman" w:hAnsi="Courier New" w:cs="Courier New"/>
          <w:color w:val="000000"/>
          <w:sz w:val="20"/>
          <w:szCs w:val="20"/>
        </w:rPr>
        <w:br/>
        <w:t xml:space="preserve">adjacent(2,3).         adjacent(3,2). </w:t>
      </w:r>
      <w:r w:rsidRPr="00147E95">
        <w:rPr>
          <w:rFonts w:ascii="Courier New" w:eastAsia="Times New Roman" w:hAnsi="Courier New" w:cs="Courier New"/>
          <w:color w:val="000000"/>
          <w:sz w:val="20"/>
          <w:szCs w:val="20"/>
        </w:rPr>
        <w:br/>
        <w:t xml:space="preserve">adjacent(2,4).         adjacent(4,2). </w:t>
      </w:r>
      <w:r w:rsidRPr="00147E95">
        <w:rPr>
          <w:rFonts w:ascii="Courier New" w:eastAsia="Times New Roman" w:hAnsi="Courier New" w:cs="Courier New"/>
          <w:color w:val="000000"/>
          <w:sz w:val="20"/>
          <w:szCs w:val="20"/>
        </w:rPr>
        <w:br/>
        <w:t xml:space="preserve">adjacent(3,4).         adjacent(4,3). </w:t>
      </w:r>
      <w:r w:rsidRPr="00147E95">
        <w:rPr>
          <w:rFonts w:ascii="Courier New" w:eastAsia="Times New Roman" w:hAnsi="Courier New" w:cs="Courier New"/>
          <w:color w:val="000000"/>
          <w:sz w:val="20"/>
          <w:szCs w:val="20"/>
        </w:rPr>
        <w:br/>
        <w:t xml:space="preserve">adjacent(4,5).         adjacent(5,4). </w:t>
      </w:r>
    </w:p>
    <w:p w:rsidR="003C621D" w:rsidRDefault="00500F46"/>
    <w:p w:rsidR="00147E95" w:rsidRPr="00147E95" w:rsidRDefault="00147E95" w:rsidP="00147E95">
      <w:pPr>
        <w:spacing w:after="0" w:line="240" w:lineRule="auto"/>
        <w:rPr>
          <w:rFonts w:ascii="Times New Roman" w:eastAsia="Times New Roman" w:hAnsi="Times New Roman" w:cs="Times New Roman"/>
          <w:sz w:val="24"/>
          <w:szCs w:val="24"/>
        </w:rPr>
      </w:pPr>
      <w:r w:rsidRPr="00147E95">
        <w:rPr>
          <w:rFonts w:ascii="Times New Roman" w:eastAsia="Times New Roman" w:hAnsi="Times New Roman" w:cs="Times New Roman"/>
          <w:color w:val="000000"/>
          <w:sz w:val="27"/>
          <w:szCs w:val="27"/>
          <w:shd w:val="clear" w:color="auto" w:fill="FFFFFF"/>
        </w:rPr>
        <w:t>If these clauses were loaded into Prolog, we could observe the following behavior for some goals.</w:t>
      </w:r>
    </w:p>
    <w:p w:rsidR="00147E95" w:rsidRPr="00147E95" w:rsidRDefault="00147E95" w:rsidP="0014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Courier New" w:eastAsia="Times New Roman" w:hAnsi="Courier New" w:cs="Courier New"/>
          <w:color w:val="000000"/>
          <w:sz w:val="20"/>
          <w:szCs w:val="20"/>
        </w:rPr>
      </w:pPr>
      <w:r w:rsidRPr="00147E95">
        <w:rPr>
          <w:rFonts w:ascii="Courier New" w:eastAsia="Times New Roman" w:hAnsi="Courier New" w:cs="Courier New"/>
          <w:color w:val="000000"/>
          <w:sz w:val="20"/>
          <w:szCs w:val="20"/>
        </w:rPr>
        <w:t xml:space="preserve">?- adjacent(2,3). </w:t>
      </w:r>
      <w:r w:rsidRPr="00147E95">
        <w:rPr>
          <w:rFonts w:ascii="Courier New" w:eastAsia="Times New Roman" w:hAnsi="Courier New" w:cs="Courier New"/>
          <w:color w:val="000000"/>
          <w:sz w:val="20"/>
          <w:szCs w:val="20"/>
        </w:rPr>
        <w:br/>
        <w:t xml:space="preserve">yes </w:t>
      </w:r>
      <w:r w:rsidRPr="00147E95">
        <w:rPr>
          <w:rFonts w:ascii="Courier New" w:eastAsia="Times New Roman" w:hAnsi="Courier New" w:cs="Courier New"/>
          <w:color w:val="000000"/>
          <w:sz w:val="20"/>
          <w:szCs w:val="20"/>
        </w:rPr>
        <w:br/>
      </w:r>
      <w:r w:rsidRPr="00147E95">
        <w:rPr>
          <w:rFonts w:ascii="Courier New" w:eastAsia="Times New Roman" w:hAnsi="Courier New" w:cs="Courier New"/>
          <w:color w:val="000000"/>
          <w:sz w:val="20"/>
          <w:szCs w:val="20"/>
        </w:rPr>
        <w:lastRenderedPageBreak/>
        <w:t xml:space="preserve">?- adjacent(5,3). </w:t>
      </w:r>
      <w:r w:rsidRPr="00147E95">
        <w:rPr>
          <w:rFonts w:ascii="Courier New" w:eastAsia="Times New Roman" w:hAnsi="Courier New" w:cs="Courier New"/>
          <w:color w:val="000000"/>
          <w:sz w:val="20"/>
          <w:szCs w:val="20"/>
        </w:rPr>
        <w:br/>
        <w:t xml:space="preserve">no </w:t>
      </w:r>
      <w:r w:rsidRPr="00147E95">
        <w:rPr>
          <w:rFonts w:ascii="Courier New" w:eastAsia="Times New Roman" w:hAnsi="Courier New" w:cs="Courier New"/>
          <w:color w:val="000000"/>
          <w:sz w:val="20"/>
          <w:szCs w:val="20"/>
        </w:rPr>
        <w:br/>
        <w:t xml:space="preserve">?- adjacent(3,R). </w:t>
      </w:r>
      <w:r w:rsidRPr="00147E95">
        <w:rPr>
          <w:rFonts w:ascii="Courier New" w:eastAsia="Times New Roman" w:hAnsi="Courier New" w:cs="Courier New"/>
          <w:color w:val="000000"/>
          <w:sz w:val="20"/>
          <w:szCs w:val="20"/>
        </w:rPr>
        <w:br/>
        <w:t xml:space="preserve">R = 1 ; </w:t>
      </w:r>
      <w:r w:rsidRPr="00147E95">
        <w:rPr>
          <w:rFonts w:ascii="Courier New" w:eastAsia="Times New Roman" w:hAnsi="Courier New" w:cs="Courier New"/>
          <w:color w:val="000000"/>
          <w:sz w:val="20"/>
          <w:szCs w:val="20"/>
        </w:rPr>
        <w:br/>
        <w:t xml:space="preserve">R = 2 ; </w:t>
      </w:r>
      <w:r w:rsidRPr="00147E95">
        <w:rPr>
          <w:rFonts w:ascii="Courier New" w:eastAsia="Times New Roman" w:hAnsi="Courier New" w:cs="Courier New"/>
          <w:color w:val="000000"/>
          <w:sz w:val="20"/>
          <w:szCs w:val="20"/>
        </w:rPr>
        <w:br/>
        <w:t xml:space="preserve">R = 4 ; </w:t>
      </w:r>
      <w:r w:rsidRPr="00147E95">
        <w:rPr>
          <w:rFonts w:ascii="Courier New" w:eastAsia="Times New Roman" w:hAnsi="Courier New" w:cs="Courier New"/>
          <w:color w:val="000000"/>
          <w:sz w:val="20"/>
          <w:szCs w:val="20"/>
        </w:rPr>
        <w:br/>
        <w:t xml:space="preserve">no </w:t>
      </w:r>
    </w:p>
    <w:p w:rsidR="00147E95" w:rsidRDefault="00147E95"/>
    <w:p w:rsidR="00BD728B" w:rsidRDefault="00BD728B" w:rsidP="00BD728B">
      <w:pPr>
        <w:pStyle w:val="NormalWeb"/>
        <w:rPr>
          <w:color w:val="000000"/>
          <w:sz w:val="27"/>
          <w:szCs w:val="27"/>
        </w:rPr>
      </w:pPr>
      <w:r>
        <w:rPr>
          <w:color w:val="000000"/>
          <w:sz w:val="27"/>
          <w:szCs w:val="27"/>
        </w:rPr>
        <w:t>One could declare colorings for the regions in Prolog also using unit clauses.</w:t>
      </w:r>
    </w:p>
    <w:p w:rsidR="00BD728B" w:rsidRDefault="00BD728B" w:rsidP="00BD728B">
      <w:pPr>
        <w:pStyle w:val="HTMLPreformatted"/>
        <w:rPr>
          <w:color w:val="000000"/>
        </w:rPr>
      </w:pPr>
      <w:r>
        <w:rPr>
          <w:color w:val="000000"/>
        </w:rPr>
        <w:t xml:space="preserve">color(1,red,a).    </w:t>
      </w:r>
      <w:bookmarkStart w:id="0" w:name="_GoBack"/>
      <w:bookmarkEnd w:id="0"/>
      <w:r>
        <w:rPr>
          <w:color w:val="000000"/>
        </w:rPr>
        <w:t xml:space="preserve">color(1,red,b). </w:t>
      </w:r>
      <w:r>
        <w:rPr>
          <w:color w:val="000000"/>
        </w:rPr>
        <w:br/>
        <w:t xml:space="preserve">color(2,blue,a).   color(2,blue,b). </w:t>
      </w:r>
      <w:r>
        <w:rPr>
          <w:color w:val="000000"/>
        </w:rPr>
        <w:br/>
        <w:t xml:space="preserve">color(3,green,a).  color(3,green,b). </w:t>
      </w:r>
      <w:r>
        <w:rPr>
          <w:color w:val="000000"/>
        </w:rPr>
        <w:br/>
        <w:t xml:space="preserve">color(4,yellow,a). color(4,blue,b). </w:t>
      </w:r>
      <w:r>
        <w:rPr>
          <w:color w:val="000000"/>
        </w:rPr>
        <w:br/>
        <w:t xml:space="preserve">color(5,blue,a).   color(5,green,b). </w:t>
      </w:r>
    </w:p>
    <w:p w:rsidR="00147E95" w:rsidRDefault="00147E95"/>
    <w:p w:rsidR="00BD728B" w:rsidRPr="00BD728B" w:rsidRDefault="00BD728B" w:rsidP="00BD728B">
      <w:pPr>
        <w:spacing w:before="100" w:beforeAutospacing="1" w:after="100" w:afterAutospacing="1" w:line="240" w:lineRule="auto"/>
        <w:rPr>
          <w:rFonts w:ascii="Times New Roman" w:eastAsia="Times New Roman" w:hAnsi="Times New Roman" w:cs="Times New Roman"/>
          <w:color w:val="000000"/>
          <w:sz w:val="27"/>
          <w:szCs w:val="27"/>
        </w:rPr>
      </w:pPr>
      <w:r w:rsidRPr="00BD728B">
        <w:rPr>
          <w:rFonts w:ascii="Times New Roman" w:eastAsia="Times New Roman" w:hAnsi="Times New Roman" w:cs="Times New Roman"/>
          <w:color w:val="000000"/>
          <w:sz w:val="27"/>
          <w:szCs w:val="27"/>
        </w:rPr>
        <w:t>Here we have encoded 'a' and 'b' colorings. We want to write a Prolog definition of a conflictive coloring, meaning that two adjacent regions have the same color. For example, here is a Prolog clause, or rule to that effect.</w:t>
      </w:r>
    </w:p>
    <w:p w:rsidR="00BD728B" w:rsidRPr="00BD728B" w:rsidRDefault="00BD728B" w:rsidP="00BD7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Courier New" w:eastAsia="Times New Roman" w:hAnsi="Courier New" w:cs="Courier New"/>
          <w:color w:val="000000"/>
          <w:sz w:val="20"/>
          <w:szCs w:val="20"/>
        </w:rPr>
      </w:pPr>
      <w:r w:rsidRPr="00BD728B">
        <w:rPr>
          <w:rFonts w:ascii="Courier New" w:eastAsia="Times New Roman" w:hAnsi="Courier New" w:cs="Courier New"/>
          <w:color w:val="000000"/>
          <w:sz w:val="20"/>
          <w:szCs w:val="20"/>
        </w:rPr>
        <w:t xml:space="preserve">conflict(Coloring) :- </w:t>
      </w:r>
      <w:r w:rsidRPr="00BD728B">
        <w:rPr>
          <w:rFonts w:ascii="Courier New" w:eastAsia="Times New Roman" w:hAnsi="Courier New" w:cs="Courier New"/>
          <w:color w:val="000000"/>
          <w:sz w:val="20"/>
          <w:szCs w:val="20"/>
        </w:rPr>
        <w:br/>
        <w:t xml:space="preserve">   adjacent(X,Y), </w:t>
      </w:r>
      <w:r w:rsidRPr="00BD728B">
        <w:rPr>
          <w:rFonts w:ascii="Courier New" w:eastAsia="Times New Roman" w:hAnsi="Courier New" w:cs="Courier New"/>
          <w:color w:val="000000"/>
          <w:sz w:val="20"/>
          <w:szCs w:val="20"/>
        </w:rPr>
        <w:br/>
        <w:t xml:space="preserve">   color(X,Color,Coloring), </w:t>
      </w:r>
      <w:r w:rsidRPr="00BD728B">
        <w:rPr>
          <w:rFonts w:ascii="Courier New" w:eastAsia="Times New Roman" w:hAnsi="Courier New" w:cs="Courier New"/>
          <w:color w:val="000000"/>
          <w:sz w:val="20"/>
          <w:szCs w:val="20"/>
        </w:rPr>
        <w:br/>
        <w:t xml:space="preserve">   color(Y,Color,Coloring). </w:t>
      </w:r>
    </w:p>
    <w:p w:rsidR="00BD728B" w:rsidRPr="00BD728B" w:rsidRDefault="00BD728B" w:rsidP="00BD728B">
      <w:pPr>
        <w:spacing w:after="0" w:line="240" w:lineRule="auto"/>
        <w:rPr>
          <w:rFonts w:ascii="Times New Roman" w:eastAsia="Times New Roman" w:hAnsi="Times New Roman" w:cs="Times New Roman"/>
          <w:sz w:val="24"/>
          <w:szCs w:val="24"/>
        </w:rPr>
      </w:pPr>
      <w:r w:rsidRPr="00BD728B">
        <w:rPr>
          <w:rFonts w:ascii="Times New Roman" w:eastAsia="Times New Roman" w:hAnsi="Times New Roman" w:cs="Times New Roman"/>
          <w:color w:val="000000"/>
          <w:sz w:val="27"/>
          <w:szCs w:val="27"/>
          <w:shd w:val="clear" w:color="auto" w:fill="FFFFFF"/>
        </w:rPr>
        <w:t>For example,</w:t>
      </w:r>
    </w:p>
    <w:p w:rsidR="00BD728B" w:rsidRPr="00BD728B" w:rsidRDefault="00BD728B" w:rsidP="00BD7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Courier New" w:eastAsia="Times New Roman" w:hAnsi="Courier New" w:cs="Courier New"/>
          <w:color w:val="000000"/>
          <w:sz w:val="20"/>
          <w:szCs w:val="20"/>
        </w:rPr>
      </w:pPr>
      <w:r w:rsidRPr="00BD728B">
        <w:rPr>
          <w:rFonts w:ascii="Courier New" w:eastAsia="Times New Roman" w:hAnsi="Courier New" w:cs="Courier New"/>
          <w:color w:val="000000"/>
          <w:sz w:val="20"/>
          <w:szCs w:val="20"/>
        </w:rPr>
        <w:t xml:space="preserve">?- conflict(a). </w:t>
      </w:r>
      <w:r w:rsidRPr="00BD728B">
        <w:rPr>
          <w:rFonts w:ascii="Courier New" w:eastAsia="Times New Roman" w:hAnsi="Courier New" w:cs="Courier New"/>
          <w:color w:val="000000"/>
          <w:sz w:val="20"/>
          <w:szCs w:val="20"/>
        </w:rPr>
        <w:br/>
        <w:t xml:space="preserve">no </w:t>
      </w:r>
      <w:r w:rsidRPr="00BD728B">
        <w:rPr>
          <w:rFonts w:ascii="Courier New" w:eastAsia="Times New Roman" w:hAnsi="Courier New" w:cs="Courier New"/>
          <w:color w:val="000000"/>
          <w:sz w:val="20"/>
          <w:szCs w:val="20"/>
        </w:rPr>
        <w:br/>
        <w:t xml:space="preserve">?- conflict(b). </w:t>
      </w:r>
      <w:r w:rsidRPr="00BD728B">
        <w:rPr>
          <w:rFonts w:ascii="Courier New" w:eastAsia="Times New Roman" w:hAnsi="Courier New" w:cs="Courier New"/>
          <w:color w:val="000000"/>
          <w:sz w:val="20"/>
          <w:szCs w:val="20"/>
        </w:rPr>
        <w:br/>
        <w:t xml:space="preserve">yes </w:t>
      </w:r>
      <w:r w:rsidRPr="00BD728B">
        <w:rPr>
          <w:rFonts w:ascii="Courier New" w:eastAsia="Times New Roman" w:hAnsi="Courier New" w:cs="Courier New"/>
          <w:color w:val="000000"/>
          <w:sz w:val="20"/>
          <w:szCs w:val="20"/>
        </w:rPr>
        <w:br/>
        <w:t xml:space="preserve">?- conflict(Which). </w:t>
      </w:r>
      <w:r w:rsidRPr="00BD728B">
        <w:rPr>
          <w:rFonts w:ascii="Courier New" w:eastAsia="Times New Roman" w:hAnsi="Courier New" w:cs="Courier New"/>
          <w:color w:val="000000"/>
          <w:sz w:val="20"/>
          <w:szCs w:val="20"/>
        </w:rPr>
        <w:br/>
        <w:t xml:space="preserve">Which = b </w:t>
      </w:r>
    </w:p>
    <w:p w:rsidR="00610C31" w:rsidRDefault="00610C31" w:rsidP="00BD7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Times New Roman" w:eastAsia="Times New Roman" w:hAnsi="Times New Roman" w:cs="Times New Roman"/>
          <w:color w:val="000000"/>
          <w:sz w:val="27"/>
          <w:szCs w:val="27"/>
          <w:shd w:val="clear" w:color="auto" w:fill="FFFFFF"/>
        </w:rPr>
      </w:pPr>
    </w:p>
    <w:p w:rsidR="00BD728B" w:rsidRPr="00BD728B" w:rsidRDefault="00610C31" w:rsidP="00BD7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Courier New" w:eastAsia="Times New Roman" w:hAnsi="Courier New" w:cs="Courier New"/>
          <w:color w:val="000000"/>
          <w:sz w:val="20"/>
          <w:szCs w:val="20"/>
        </w:rPr>
      </w:pPr>
      <w:r>
        <w:rPr>
          <w:noProof/>
        </w:rPr>
        <w:drawing>
          <wp:inline distT="0" distB="0" distL="0" distR="0">
            <wp:extent cx="2501900" cy="2238375"/>
            <wp:effectExtent l="0" t="0" r="0" b="9525"/>
            <wp:docPr id="3" name="Picture 3" descr="Fig.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 2.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1900" cy="2238375"/>
                    </a:xfrm>
                    <a:prstGeom prst="rect">
                      <a:avLst/>
                    </a:prstGeom>
                    <a:noFill/>
                    <a:ln>
                      <a:noFill/>
                    </a:ln>
                  </pic:spPr>
                </pic:pic>
              </a:graphicData>
            </a:graphic>
          </wp:inline>
        </w:drawing>
      </w:r>
      <w:r w:rsidR="00BD728B" w:rsidRPr="00BD728B">
        <w:rPr>
          <w:rFonts w:ascii="Courier New" w:eastAsia="Times New Roman" w:hAnsi="Courier New" w:cs="Courier New"/>
          <w:color w:val="000000"/>
          <w:sz w:val="20"/>
          <w:szCs w:val="20"/>
        </w:rPr>
        <w:t xml:space="preserve"> </w:t>
      </w:r>
    </w:p>
    <w:sectPr w:rsidR="00BD728B" w:rsidRPr="00BD728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F46" w:rsidRDefault="00500F46" w:rsidP="00610C31">
      <w:pPr>
        <w:spacing w:after="0" w:line="240" w:lineRule="auto"/>
      </w:pPr>
      <w:r>
        <w:separator/>
      </w:r>
    </w:p>
  </w:endnote>
  <w:endnote w:type="continuationSeparator" w:id="0">
    <w:p w:rsidR="00500F46" w:rsidRDefault="00500F46" w:rsidP="00610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3529275"/>
      <w:docPartObj>
        <w:docPartGallery w:val="Page Numbers (Bottom of Page)"/>
        <w:docPartUnique/>
      </w:docPartObj>
    </w:sdtPr>
    <w:sdtEndPr>
      <w:rPr>
        <w:noProof/>
      </w:rPr>
    </w:sdtEndPr>
    <w:sdtContent>
      <w:p w:rsidR="00610C31" w:rsidRDefault="00610C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10C31" w:rsidRDefault="00610C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F46" w:rsidRDefault="00500F46" w:rsidP="00610C31">
      <w:pPr>
        <w:spacing w:after="0" w:line="240" w:lineRule="auto"/>
      </w:pPr>
      <w:r>
        <w:separator/>
      </w:r>
    </w:p>
  </w:footnote>
  <w:footnote w:type="continuationSeparator" w:id="0">
    <w:p w:rsidR="00500F46" w:rsidRDefault="00500F46" w:rsidP="00610C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E95"/>
    <w:rsid w:val="00147E95"/>
    <w:rsid w:val="00500F46"/>
    <w:rsid w:val="00557D33"/>
    <w:rsid w:val="00610C31"/>
    <w:rsid w:val="00BD728B"/>
    <w:rsid w:val="00C74893"/>
    <w:rsid w:val="00D65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14F9AB-E390-4B7A-85D6-89111F5CF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7E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47E95"/>
  </w:style>
  <w:style w:type="character" w:styleId="Emphasis">
    <w:name w:val="Emphasis"/>
    <w:basedOn w:val="DefaultParagraphFont"/>
    <w:uiPriority w:val="20"/>
    <w:qFormat/>
    <w:rsid w:val="00147E95"/>
    <w:rPr>
      <w:i/>
      <w:iCs/>
    </w:rPr>
  </w:style>
  <w:style w:type="paragraph" w:styleId="HTMLPreformatted">
    <w:name w:val="HTML Preformatted"/>
    <w:basedOn w:val="Normal"/>
    <w:link w:val="HTMLPreformattedChar"/>
    <w:uiPriority w:val="99"/>
    <w:semiHidden/>
    <w:unhideWhenUsed/>
    <w:rsid w:val="0014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47E95"/>
    <w:rPr>
      <w:rFonts w:ascii="Courier New" w:eastAsia="Times New Roman" w:hAnsi="Courier New" w:cs="Courier New"/>
      <w:sz w:val="20"/>
      <w:szCs w:val="20"/>
    </w:rPr>
  </w:style>
  <w:style w:type="paragraph" w:styleId="Header">
    <w:name w:val="header"/>
    <w:basedOn w:val="Normal"/>
    <w:link w:val="HeaderChar"/>
    <w:uiPriority w:val="99"/>
    <w:unhideWhenUsed/>
    <w:rsid w:val="00610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C31"/>
  </w:style>
  <w:style w:type="paragraph" w:styleId="Footer">
    <w:name w:val="footer"/>
    <w:basedOn w:val="Normal"/>
    <w:link w:val="FooterChar"/>
    <w:uiPriority w:val="99"/>
    <w:unhideWhenUsed/>
    <w:rsid w:val="00610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759917">
      <w:bodyDiv w:val="1"/>
      <w:marLeft w:val="0"/>
      <w:marRight w:val="0"/>
      <w:marTop w:val="0"/>
      <w:marBottom w:val="0"/>
      <w:divBdr>
        <w:top w:val="none" w:sz="0" w:space="0" w:color="auto"/>
        <w:left w:val="none" w:sz="0" w:space="0" w:color="auto"/>
        <w:bottom w:val="none" w:sz="0" w:space="0" w:color="auto"/>
        <w:right w:val="none" w:sz="0" w:space="0" w:color="auto"/>
      </w:divBdr>
      <w:divsChild>
        <w:div w:id="1906337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2908061">
      <w:bodyDiv w:val="1"/>
      <w:marLeft w:val="0"/>
      <w:marRight w:val="0"/>
      <w:marTop w:val="0"/>
      <w:marBottom w:val="0"/>
      <w:divBdr>
        <w:top w:val="none" w:sz="0" w:space="0" w:color="auto"/>
        <w:left w:val="none" w:sz="0" w:space="0" w:color="auto"/>
        <w:bottom w:val="none" w:sz="0" w:space="0" w:color="auto"/>
        <w:right w:val="none" w:sz="0" w:space="0" w:color="auto"/>
      </w:divBdr>
    </w:div>
    <w:div w:id="450131586">
      <w:bodyDiv w:val="1"/>
      <w:marLeft w:val="0"/>
      <w:marRight w:val="0"/>
      <w:marTop w:val="0"/>
      <w:marBottom w:val="0"/>
      <w:divBdr>
        <w:top w:val="none" w:sz="0" w:space="0" w:color="auto"/>
        <w:left w:val="none" w:sz="0" w:space="0" w:color="auto"/>
        <w:bottom w:val="none" w:sz="0" w:space="0" w:color="auto"/>
        <w:right w:val="none" w:sz="0" w:space="0" w:color="auto"/>
      </w:divBdr>
    </w:div>
    <w:div w:id="1828591833">
      <w:bodyDiv w:val="1"/>
      <w:marLeft w:val="0"/>
      <w:marRight w:val="0"/>
      <w:marTop w:val="0"/>
      <w:marBottom w:val="0"/>
      <w:divBdr>
        <w:top w:val="none" w:sz="0" w:space="0" w:color="auto"/>
        <w:left w:val="none" w:sz="0" w:space="0" w:color="auto"/>
        <w:bottom w:val="none" w:sz="0" w:space="0" w:color="auto"/>
        <w:right w:val="none" w:sz="0" w:space="0" w:color="auto"/>
      </w:divBdr>
      <w:divsChild>
        <w:div w:id="1704360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559145">
      <w:bodyDiv w:val="1"/>
      <w:marLeft w:val="0"/>
      <w:marRight w:val="0"/>
      <w:marTop w:val="0"/>
      <w:marBottom w:val="0"/>
      <w:divBdr>
        <w:top w:val="none" w:sz="0" w:space="0" w:color="auto"/>
        <w:left w:val="none" w:sz="0" w:space="0" w:color="auto"/>
        <w:bottom w:val="none" w:sz="0" w:space="0" w:color="auto"/>
        <w:right w:val="none" w:sz="0" w:space="0" w:color="auto"/>
      </w:divBdr>
      <w:divsChild>
        <w:div w:id="302543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8663424">
      <w:bodyDiv w:val="1"/>
      <w:marLeft w:val="0"/>
      <w:marRight w:val="0"/>
      <w:marTop w:val="0"/>
      <w:marBottom w:val="0"/>
      <w:divBdr>
        <w:top w:val="none" w:sz="0" w:space="0" w:color="auto"/>
        <w:left w:val="none" w:sz="0" w:space="0" w:color="auto"/>
        <w:bottom w:val="none" w:sz="0" w:space="0" w:color="auto"/>
        <w:right w:val="none" w:sz="0" w:space="0" w:color="auto"/>
      </w:divBdr>
      <w:divsChild>
        <w:div w:id="1435855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87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995520">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76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420</TotalTime>
  <Pages>1</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Alrbiaan A</dc:creator>
  <cp:keywords/>
  <dc:description/>
  <cp:lastModifiedBy>Alrbiaan A</cp:lastModifiedBy>
  <cp:revision>4</cp:revision>
  <dcterms:created xsi:type="dcterms:W3CDTF">2017-02-27T09:05:00Z</dcterms:created>
  <dcterms:modified xsi:type="dcterms:W3CDTF">2017-02-27T16:05:00Z</dcterms:modified>
</cp:coreProperties>
</file>